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9A759" w14:textId="77777777" w:rsidR="008A5068" w:rsidRDefault="008A5068" w:rsidP="008A5068">
      <w:pPr>
        <w:rPr>
          <w:b/>
          <w:bCs/>
          <w:sz w:val="20"/>
          <w:szCs w:val="20"/>
        </w:rPr>
      </w:pPr>
      <w:r>
        <w:rPr>
          <w:b/>
          <w:bCs/>
          <w:sz w:val="20"/>
          <w:szCs w:val="20"/>
        </w:rPr>
        <w:t>Sygn.. 12/2022/TP</w:t>
      </w:r>
    </w:p>
    <w:p w14:paraId="5D3387C1" w14:textId="77777777" w:rsidR="008A5068" w:rsidRDefault="008A5068" w:rsidP="008A5068">
      <w:pPr>
        <w:rPr>
          <w:rFonts w:asciiTheme="majorHAnsi" w:hAnsiTheme="majorHAnsi" w:cstheme="majorHAnsi"/>
          <w:b/>
          <w:bCs/>
        </w:rPr>
      </w:pPr>
    </w:p>
    <w:p w14:paraId="707EE218" w14:textId="61C85360" w:rsidR="00E53776" w:rsidRDefault="00000000">
      <w:pPr>
        <w:jc w:val="right"/>
        <w:rPr>
          <w:rFonts w:asciiTheme="majorHAnsi" w:hAnsiTheme="majorHAnsi" w:cstheme="majorHAnsi"/>
          <w:b/>
          <w:bCs/>
        </w:rPr>
      </w:pPr>
      <w:r>
        <w:rPr>
          <w:rFonts w:asciiTheme="majorHAnsi" w:hAnsiTheme="majorHAnsi" w:cstheme="majorHAnsi"/>
          <w:b/>
          <w:bCs/>
        </w:rPr>
        <w:t>Załącznik nr 1.7 do SWZ</w:t>
      </w:r>
    </w:p>
    <w:p w14:paraId="4EB49433" w14:textId="77777777" w:rsidR="00E53776" w:rsidRDefault="00000000">
      <w:pPr>
        <w:rPr>
          <w:b/>
          <w:bCs/>
        </w:rPr>
      </w:pPr>
      <w:r>
        <w:rPr>
          <w:b/>
          <w:bCs/>
        </w:rPr>
        <w:t xml:space="preserve">PAKIET nr 7 </w:t>
      </w:r>
    </w:p>
    <w:p w14:paraId="00A64E82" w14:textId="77777777" w:rsidR="00E53776" w:rsidRDefault="00E53776">
      <w:pPr>
        <w:jc w:val="right"/>
        <w:rPr>
          <w:rFonts w:asciiTheme="majorHAnsi" w:hAnsiTheme="majorHAnsi" w:cstheme="majorHAnsi"/>
          <w:b/>
          <w:bCs/>
        </w:rPr>
      </w:pPr>
    </w:p>
    <w:p w14:paraId="071E8CE0" w14:textId="77777777" w:rsidR="00E53776" w:rsidRDefault="00E53776">
      <w:pPr>
        <w:jc w:val="right"/>
        <w:rPr>
          <w:rFonts w:asciiTheme="majorHAnsi" w:hAnsiTheme="majorHAnsi" w:cstheme="majorHAnsi"/>
          <w:b/>
          <w:bCs/>
          <w:sz w:val="24"/>
          <w:szCs w:val="24"/>
        </w:rPr>
      </w:pPr>
    </w:p>
    <w:p w14:paraId="3A0F10F8" w14:textId="77777777" w:rsidR="00E53776" w:rsidRDefault="0000000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Specyfikacja zamówienia</w:t>
      </w:r>
    </w:p>
    <w:p w14:paraId="6F0AC3C8" w14:textId="77777777" w:rsidR="00E53776" w:rsidRDefault="00000000">
      <w:pPr>
        <w:jc w:val="center"/>
        <w:rPr>
          <w:rFonts w:asciiTheme="majorHAnsi" w:hAnsiTheme="majorHAnsi" w:cstheme="majorHAnsi"/>
          <w:b/>
          <w:bCs/>
          <w:sz w:val="24"/>
          <w:szCs w:val="24"/>
        </w:rPr>
      </w:pPr>
      <w:r>
        <w:rPr>
          <w:rFonts w:asciiTheme="majorHAnsi" w:hAnsiTheme="majorHAnsi" w:cstheme="majorHAnsi"/>
          <w:b/>
          <w:bCs/>
          <w:sz w:val="24"/>
          <w:szCs w:val="24"/>
        </w:rPr>
        <w:t>Platforma edukacyjna: e-learning</w:t>
      </w:r>
    </w:p>
    <w:p w14:paraId="0B05D555" w14:textId="77777777" w:rsidR="00E53776" w:rsidRDefault="00E53776">
      <w:pPr>
        <w:jc w:val="center"/>
        <w:rPr>
          <w:rFonts w:asciiTheme="majorHAnsi" w:hAnsiTheme="majorHAnsi" w:cstheme="majorHAnsi"/>
          <w:sz w:val="24"/>
          <w:szCs w:val="24"/>
        </w:rPr>
      </w:pPr>
    </w:p>
    <w:p w14:paraId="79D5D326" w14:textId="77777777" w:rsidR="00E53776" w:rsidRDefault="00000000">
      <w:pPr>
        <w:rPr>
          <w:rFonts w:asciiTheme="majorHAnsi" w:hAnsiTheme="majorHAnsi" w:cstheme="majorHAnsi"/>
          <w:b/>
          <w:sz w:val="24"/>
          <w:szCs w:val="24"/>
        </w:rPr>
      </w:pPr>
      <w:r>
        <w:rPr>
          <w:rFonts w:asciiTheme="majorHAnsi" w:hAnsiTheme="majorHAnsi" w:cstheme="majorHAnsi"/>
          <w:b/>
          <w:sz w:val="24"/>
          <w:szCs w:val="24"/>
        </w:rPr>
        <w:t>Zakres przedmiotu zamówienia</w:t>
      </w:r>
    </w:p>
    <w:p w14:paraId="1B125EA1" w14:textId="77777777" w:rsidR="00E53776" w:rsidRDefault="00E53776">
      <w:pPr>
        <w:rPr>
          <w:rFonts w:asciiTheme="majorHAnsi" w:hAnsiTheme="majorHAnsi" w:cstheme="majorHAnsi"/>
          <w:b/>
          <w:sz w:val="24"/>
          <w:szCs w:val="24"/>
        </w:rPr>
      </w:pPr>
    </w:p>
    <w:p w14:paraId="2AC509DA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Przedmiotem zamówienia jest świadczenie usługi dostępu do platformy edukacyjnej, która zawiera materiały edukacyjne w wersji elektronicznej (e-learning) w zakresie cyberbezpieczeństwa.</w:t>
      </w:r>
    </w:p>
    <w:p w14:paraId="6417AEFC" w14:textId="77777777" w:rsidR="00E53776" w:rsidRDefault="00E5377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7BA0DBA0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Świadczenie usługi musi obejmować: możliwość utworzenie przez Zamawiającego indywidualnych kont dla pracowników, wsparcie techniczne dla użytkowników polegające na obsłudze dostępu do platformy tj. przekazywanie i aktualizacja danych dostępowych m.in. reset haseł oraz raportowanie aktywności uczestników. </w:t>
      </w:r>
    </w:p>
    <w:p w14:paraId="65168069" w14:textId="77777777" w:rsidR="00E53776" w:rsidRDefault="00E53776">
      <w:pPr>
        <w:rPr>
          <w:rFonts w:asciiTheme="majorHAnsi" w:hAnsiTheme="majorHAnsi" w:cstheme="majorHAnsi"/>
          <w:sz w:val="24"/>
          <w:szCs w:val="24"/>
        </w:rPr>
      </w:pPr>
    </w:p>
    <w:p w14:paraId="2B491C94" w14:textId="4114BDDB" w:rsidR="00E53776" w:rsidRPr="00A85C24" w:rsidRDefault="00000000">
      <w:pPr>
        <w:rPr>
          <w:rFonts w:asciiTheme="majorHAnsi" w:hAnsiTheme="majorHAnsi" w:cstheme="majorHAnsi"/>
          <w:sz w:val="24"/>
          <w:szCs w:val="24"/>
        </w:rPr>
      </w:pPr>
      <w:r w:rsidRPr="00A85C24">
        <w:rPr>
          <w:rFonts w:asciiTheme="majorHAnsi" w:hAnsiTheme="majorHAnsi" w:cstheme="majorHAnsi"/>
          <w:sz w:val="24"/>
          <w:szCs w:val="24"/>
        </w:rPr>
        <w:t xml:space="preserve">Wymagana liczba użytkowników platformy (kont): </w:t>
      </w:r>
      <w:r w:rsidR="00A85C24" w:rsidRPr="00A85C24">
        <w:rPr>
          <w:rFonts w:asciiTheme="majorHAnsi" w:hAnsiTheme="majorHAnsi" w:cstheme="majorHAnsi"/>
          <w:sz w:val="24"/>
          <w:szCs w:val="24"/>
        </w:rPr>
        <w:t>200</w:t>
      </w:r>
      <w:r w:rsidRPr="00A85C24">
        <w:rPr>
          <w:rFonts w:asciiTheme="majorHAnsi" w:hAnsiTheme="majorHAnsi" w:cstheme="majorHAnsi"/>
          <w:sz w:val="24"/>
          <w:szCs w:val="24"/>
        </w:rPr>
        <w:t xml:space="preserve"> – </w:t>
      </w:r>
    </w:p>
    <w:p w14:paraId="2EDA2AD7" w14:textId="3C356640" w:rsidR="00E53776" w:rsidRDefault="00000000">
      <w:pPr>
        <w:rPr>
          <w:rFonts w:asciiTheme="majorHAnsi" w:hAnsiTheme="majorHAnsi" w:cstheme="majorHAnsi"/>
          <w:sz w:val="24"/>
          <w:szCs w:val="24"/>
        </w:rPr>
      </w:pPr>
      <w:r w:rsidRPr="00A85C24">
        <w:rPr>
          <w:rFonts w:asciiTheme="majorHAnsi" w:hAnsiTheme="majorHAnsi" w:cstheme="majorHAnsi"/>
          <w:sz w:val="24"/>
          <w:szCs w:val="24"/>
        </w:rPr>
        <w:t>Czas trwania usługi: 12 miesięcy</w:t>
      </w:r>
      <w:r>
        <w:rPr>
          <w:rFonts w:asciiTheme="majorHAnsi" w:hAnsiTheme="majorHAnsi" w:cstheme="majorHAnsi"/>
          <w:sz w:val="24"/>
          <w:szCs w:val="24"/>
        </w:rPr>
        <w:t xml:space="preserve"> </w:t>
      </w:r>
    </w:p>
    <w:p w14:paraId="02AA421E" w14:textId="77777777" w:rsidR="00E53776" w:rsidRDefault="00E53776">
      <w:pPr>
        <w:rPr>
          <w:rFonts w:asciiTheme="majorHAnsi" w:hAnsiTheme="majorHAnsi" w:cstheme="majorHAnsi"/>
          <w:sz w:val="24"/>
          <w:szCs w:val="24"/>
        </w:rPr>
      </w:pPr>
    </w:p>
    <w:p w14:paraId="58B71B5D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Platforma edukacyjna musi posiadać prosty i intuicyjny interfejs działający jako strona WWW w języku polskim, platforma musi być dostępna z poziomu sieci Internet i standardowych przeglądarek Internetowych oraz nie wymagać do poprawnego działania i obsługi od Zamawiającego instalacji dodatkowych komponentów (np., aplikacji klienckiej). Platforma musi umożliwiać zarządzanie indywidualnymi kontami użytkowników (np. dodawanie/usuwanie/edycja pojedynczych i wielu kont na raz, zmiany/aktualizacji danych dostępowych np. resetowanie haseł). Platforma powinna umożliwiać wysyłanie komunikatów z powiadomieniami za pomocą poczty elektronicznej. Platforma musi posiadać mechanizmy służące weryfikacji skuteczności realizacji akcji edukacyjnej i generowania na tej podstawie raportów/analiz np. możliwość przeprowadzenia na platformie testów wiedzy np. w postaci testów wiedzy, ankiet, konkursów etc.</w:t>
      </w:r>
    </w:p>
    <w:p w14:paraId="03A1ADE9" w14:textId="77777777" w:rsidR="00E53776" w:rsidRDefault="00E53776">
      <w:pPr>
        <w:rPr>
          <w:rFonts w:asciiTheme="majorHAnsi" w:hAnsiTheme="majorHAnsi" w:cstheme="majorHAnsi"/>
          <w:sz w:val="24"/>
          <w:szCs w:val="24"/>
        </w:rPr>
      </w:pPr>
    </w:p>
    <w:p w14:paraId="6C997612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Materiały edukacyjne dostępne na platformie muszą mieć formę umożliwiającą przeprowadzenie powtarzalnego cyklu np. w postaci publikacji informacji w ustalonych odstępach czasu w zależności od rodzaju przekazywanej treści, możliwości selektywnego przeglądu materiału edukacyjnego, ponownego zapoznania się materiałem, etc. </w:t>
      </w:r>
    </w:p>
    <w:p w14:paraId="565373BE" w14:textId="77777777" w:rsidR="00E53776" w:rsidRDefault="00E5377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A8C2CBE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Zakres edukacyjny materiałów musi obejmować minimum następujące obszary tematyczne: </w:t>
      </w:r>
    </w:p>
    <w:p w14:paraId="4E9D645E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Polityka haseł, </w:t>
      </w:r>
    </w:p>
    <w:p w14:paraId="072040D8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lastRenderedPageBreak/>
        <w:t>Phishing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, </w:t>
      </w:r>
    </w:p>
    <w:p w14:paraId="7B645803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Bezpieczeństwo urządzeń mobilnych, </w:t>
      </w:r>
    </w:p>
    <w:p w14:paraId="5391581C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Fałszywe załączniki, </w:t>
      </w:r>
    </w:p>
    <w:p w14:paraId="09EE0F1B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Wyciek informacji, </w:t>
      </w:r>
    </w:p>
    <w:p w14:paraId="0CC625A0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Bezpieczeństwo w sieci Wi-Fi, </w:t>
      </w:r>
    </w:p>
    <w:p w14:paraId="289E220D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Ransomware</w:t>
      </w:r>
      <w:proofErr w:type="spellEnd"/>
    </w:p>
    <w:p w14:paraId="558D05AB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RODO - wprowadzenie</w:t>
      </w:r>
    </w:p>
    <w:p w14:paraId="1E1F4CC3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RODO - przykłady</w:t>
      </w:r>
    </w:p>
    <w:p w14:paraId="31D08DF0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proofErr w:type="spellStart"/>
      <w:r>
        <w:rPr>
          <w:rFonts w:asciiTheme="majorHAnsi" w:hAnsiTheme="majorHAnsi" w:cstheme="majorHAnsi"/>
          <w:sz w:val="24"/>
          <w:szCs w:val="24"/>
        </w:rPr>
        <w:t>Ransomware</w:t>
      </w:r>
      <w:proofErr w:type="spellEnd"/>
    </w:p>
    <w:p w14:paraId="28E1F366" w14:textId="77777777" w:rsidR="00E53776" w:rsidRDefault="00000000">
      <w:pPr>
        <w:numPr>
          <w:ilvl w:val="0"/>
          <w:numId w:val="1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Kopie zapasowe</w:t>
      </w:r>
    </w:p>
    <w:p w14:paraId="7F436745" w14:textId="77777777" w:rsidR="00E53776" w:rsidRDefault="00E5377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57DDAC63" w14:textId="77777777" w:rsidR="00E53776" w:rsidRDefault="00E53776">
      <w:pPr>
        <w:jc w:val="both"/>
        <w:rPr>
          <w:rFonts w:asciiTheme="majorHAnsi" w:hAnsiTheme="majorHAnsi" w:cstheme="majorHAnsi"/>
          <w:sz w:val="24"/>
          <w:szCs w:val="24"/>
        </w:rPr>
      </w:pPr>
    </w:p>
    <w:p w14:paraId="6E2B4893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Ponadto, materiały edukacyjne muszą charakteryzować się następującymi cechami: </w:t>
      </w:r>
    </w:p>
    <w:p w14:paraId="0D8C1DDA" w14:textId="77777777" w:rsidR="00E53776" w:rsidRDefault="00E53776">
      <w:pPr>
        <w:jc w:val="both"/>
        <w:rPr>
          <w:rFonts w:asciiTheme="majorHAnsi" w:hAnsiTheme="majorHAnsi" w:cstheme="majorHAnsi"/>
          <w:sz w:val="16"/>
          <w:szCs w:val="16"/>
        </w:rPr>
      </w:pPr>
    </w:p>
    <w:p w14:paraId="5361DDC8" w14:textId="77777777" w:rsidR="00E53776" w:rsidRDefault="00000000">
      <w:pPr>
        <w:numPr>
          <w:ilvl w:val="0"/>
          <w:numId w:val="2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cały materiał szkolenia musi być dostępny w języku polskim i przedstawiony w sposób zrozumiały przez osoby nietechniczne, treść powinna zawierać element, który pozwoli na zainteresowanie odbiorcy tematyką, </w:t>
      </w:r>
    </w:p>
    <w:p w14:paraId="6C86143A" w14:textId="77777777" w:rsidR="00E53776" w:rsidRDefault="00000000">
      <w:pPr>
        <w:numPr>
          <w:ilvl w:val="0"/>
          <w:numId w:val="2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treść powinna być atrakcyjna graficznie, z optymalną liczbą elementów wizualizacji zarówno statycznej, jaki i dynamicznej np. w postaci krótkich historyjek graficznych, krótkich filmów, animowanych gif-ów, infografik. Nie mogą to być np. same zdjęcia, definicje lub zagadnienia opisane w formie tekstowej i odtwarzane w postaci dźwiękowej,</w:t>
      </w:r>
    </w:p>
    <w:p w14:paraId="6EC2D55A" w14:textId="77777777" w:rsidR="00E53776" w:rsidRDefault="00000000">
      <w:pPr>
        <w:numPr>
          <w:ilvl w:val="0"/>
          <w:numId w:val="2"/>
        </w:num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>treść powinna zawierać elementy graficzne, specjalne wyróżnienia wskazująca na konieczność zwrócenia szczególnej uwagi na dane zagadnienie.</w:t>
      </w:r>
    </w:p>
    <w:p w14:paraId="437FC745" w14:textId="77777777" w:rsidR="00E53776" w:rsidRDefault="00E53776">
      <w:pPr>
        <w:ind w:left="720"/>
        <w:jc w:val="both"/>
        <w:rPr>
          <w:rFonts w:asciiTheme="majorHAnsi" w:hAnsiTheme="majorHAnsi" w:cstheme="majorHAnsi"/>
          <w:sz w:val="16"/>
          <w:szCs w:val="16"/>
        </w:rPr>
      </w:pPr>
    </w:p>
    <w:p w14:paraId="180C795C" w14:textId="77777777" w:rsidR="00E53776" w:rsidRDefault="00000000">
      <w:pPr>
        <w:jc w:val="both"/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Wykonawca musi zapewnić całą niezbędną infrastrukturę informatyczną (wymagane serwery, łącze internetowe, usługi hostingowe, etc...) konieczną do realizacji przedmiotu zamówienia. Zamawiający zapewnia jedynie dostęp sieciowy do Internetu protokołami http i </w:t>
      </w:r>
      <w:proofErr w:type="spellStart"/>
      <w:r>
        <w:rPr>
          <w:rFonts w:asciiTheme="majorHAnsi" w:hAnsiTheme="majorHAnsi" w:cstheme="majorHAnsi"/>
          <w:sz w:val="24"/>
          <w:szCs w:val="24"/>
        </w:rPr>
        <w:t>https</w:t>
      </w:r>
      <w:proofErr w:type="spellEnd"/>
      <w:r>
        <w:rPr>
          <w:rFonts w:asciiTheme="majorHAnsi" w:hAnsiTheme="majorHAnsi" w:cstheme="majorHAnsi"/>
          <w:sz w:val="24"/>
          <w:szCs w:val="24"/>
        </w:rPr>
        <w:t xml:space="preserve"> oraz przeglądarkę internetową dla użytkowników. </w:t>
      </w:r>
    </w:p>
    <w:p w14:paraId="3198895A" w14:textId="77777777" w:rsidR="00E53776" w:rsidRDefault="00E53776">
      <w:pPr>
        <w:jc w:val="both"/>
        <w:rPr>
          <w:rFonts w:asciiTheme="majorHAnsi" w:hAnsiTheme="majorHAnsi" w:cstheme="majorHAnsi"/>
          <w:sz w:val="16"/>
          <w:szCs w:val="16"/>
        </w:rPr>
      </w:pPr>
    </w:p>
    <w:p w14:paraId="43DA0DBF" w14:textId="77777777" w:rsidR="00E53776" w:rsidRDefault="00000000">
      <w:pPr>
        <w:jc w:val="both"/>
      </w:pPr>
      <w:r>
        <w:rPr>
          <w:rFonts w:asciiTheme="majorHAnsi" w:hAnsiTheme="majorHAnsi" w:cstheme="majorHAnsi"/>
          <w:sz w:val="24"/>
          <w:szCs w:val="24"/>
        </w:rPr>
        <w:t>Wykonawca zobowiązany jest do zapewnienia prawidłowego działania platformy edukacyjnej wraz z wszystkimi materiałami edukacyjnymi przez wszystkie dni robocze w okresie obowiązywania umowy. Platforma dostępna musi być 24 godziny na dobę. Wykonawca zobowiązany jest do przywrócenia prawidłowego funkcjonowania platformy edukacyjnej wraz z wszystkimi materiałami edukacyjnymi w przypadku zgłoszenia błędów w działaniu platformy edukacyjnej przez Zamawiającego w ciągu 7 dni roboczych. Jako Błąd w działaniu Zamawiający definiuje nieprawidłowe działanie platformy lub jej komponentów, które uniemożliwia lub ogranicza prawidłowe korzystanie przez użytkowników z platformy edukacyjnej oraz zawartych materiałów edukacyjnych. W przypadku wystąpienia błędów Zamawiający będzie je zgłaszał Wykonawcy drogą elektroniczną do osób upoważnionych do realizacji umowy.</w:t>
      </w:r>
    </w:p>
    <w:sectPr w:rsidR="00E53776">
      <w:pgSz w:w="11906" w:h="16838"/>
      <w:pgMar w:top="1440" w:right="1440" w:bottom="1440" w:left="1440" w:header="0" w:footer="0" w:gutter="0"/>
      <w:pgNumType w:start="1"/>
      <w:cols w:space="708"/>
      <w:formProt w:val="0"/>
      <w:docGrid w:linePitch="240" w:charSpace="-2049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01"/>
    <w:family w:val="auto"/>
    <w:pitch w:val="default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8CF2827"/>
    <w:multiLevelType w:val="multilevel"/>
    <w:tmpl w:val="1FA8C71E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z w:val="24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1" w15:restartNumberingAfterBreak="0">
    <w:nsid w:val="418D0EDC"/>
    <w:multiLevelType w:val="multilevel"/>
    <w:tmpl w:val="9B1AD50C"/>
    <w:lvl w:ilvl="0">
      <w:start w:val="1"/>
      <w:numFmt w:val="bullet"/>
      <w:lvlText w:val=""/>
      <w:lvlJc w:val="left"/>
      <w:pPr>
        <w:ind w:left="720" w:hanging="360"/>
      </w:pPr>
      <w:rPr>
        <w:rFonts w:ascii="Wingdings" w:hAnsi="Wingdings" w:cs="Wingdings" w:hint="default"/>
        <w:sz w:val="24"/>
        <w:u w:val="none"/>
      </w:rPr>
    </w:lvl>
    <w:lvl w:ilvl="1">
      <w:start w:val="1"/>
      <w:numFmt w:val="bullet"/>
      <w:lvlText w:val=""/>
      <w:lvlJc w:val="left"/>
      <w:pPr>
        <w:ind w:left="1440" w:hanging="360"/>
      </w:pPr>
      <w:rPr>
        <w:rFonts w:ascii="Wingdings 2" w:hAnsi="Wingdings 2" w:cs="Wingdings 2" w:hint="default"/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rFonts w:ascii="OpenSymbol" w:hAnsi="OpenSymbol" w:cs="OpenSymbol" w:hint="default"/>
        <w:u w:val="none"/>
      </w:rPr>
    </w:lvl>
    <w:lvl w:ilvl="3">
      <w:start w:val="1"/>
      <w:numFmt w:val="bullet"/>
      <w:lvlText w:val=""/>
      <w:lvlJc w:val="left"/>
      <w:pPr>
        <w:ind w:left="2880" w:hanging="360"/>
      </w:pPr>
      <w:rPr>
        <w:rFonts w:ascii="Wingdings" w:hAnsi="Wingdings" w:cs="Wingdings" w:hint="default"/>
        <w:u w:val="none"/>
      </w:rPr>
    </w:lvl>
    <w:lvl w:ilvl="4">
      <w:start w:val="1"/>
      <w:numFmt w:val="bullet"/>
      <w:lvlText w:val=""/>
      <w:lvlJc w:val="left"/>
      <w:pPr>
        <w:ind w:left="3600" w:hanging="360"/>
      </w:pPr>
      <w:rPr>
        <w:rFonts w:ascii="Wingdings 2" w:hAnsi="Wingdings 2" w:cs="Wingdings 2" w:hint="default"/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rFonts w:ascii="OpenSymbol" w:hAnsi="OpenSymbol" w:cs="OpenSymbol" w:hint="default"/>
        <w:u w:val="none"/>
      </w:rPr>
    </w:lvl>
    <w:lvl w:ilvl="6">
      <w:start w:val="1"/>
      <w:numFmt w:val="bullet"/>
      <w:lvlText w:val=""/>
      <w:lvlJc w:val="left"/>
      <w:pPr>
        <w:ind w:left="5040" w:hanging="360"/>
      </w:pPr>
      <w:rPr>
        <w:rFonts w:ascii="Wingdings" w:hAnsi="Wingdings" w:cs="Wingdings" w:hint="default"/>
        <w:u w:val="none"/>
      </w:rPr>
    </w:lvl>
    <w:lvl w:ilvl="7">
      <w:start w:val="1"/>
      <w:numFmt w:val="bullet"/>
      <w:lvlText w:val=""/>
      <w:lvlJc w:val="left"/>
      <w:pPr>
        <w:ind w:left="5760" w:hanging="360"/>
      </w:pPr>
      <w:rPr>
        <w:rFonts w:ascii="Wingdings 2" w:hAnsi="Wingdings 2" w:cs="Wingdings 2" w:hint="default"/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rFonts w:ascii="OpenSymbol" w:hAnsi="OpenSymbol" w:cs="OpenSymbol" w:hint="default"/>
        <w:u w:val="none"/>
      </w:rPr>
    </w:lvl>
  </w:abstractNum>
  <w:abstractNum w:abstractNumId="2" w15:restartNumberingAfterBreak="0">
    <w:nsid w:val="5CF2783A"/>
    <w:multiLevelType w:val="multilevel"/>
    <w:tmpl w:val="42924156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 w16cid:durableId="1150443106">
    <w:abstractNumId w:val="1"/>
  </w:num>
  <w:num w:numId="2" w16cid:durableId="36201207">
    <w:abstractNumId w:val="0"/>
  </w:num>
  <w:num w:numId="3" w16cid:durableId="35724197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53776"/>
    <w:rsid w:val="008A5068"/>
    <w:rsid w:val="00A85C24"/>
    <w:rsid w:val="00E537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8033490"/>
  <w15:docId w15:val="{AEC07FE6-4A5D-4126-8B7D-A91F5DACD4C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line="276" w:lineRule="auto"/>
    </w:pPr>
  </w:style>
  <w:style w:type="paragraph" w:styleId="Nagwek1">
    <w:name w:val="heading 1"/>
    <w:basedOn w:val="Normalny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Nagwek2">
    <w:name w:val="heading 2"/>
    <w:basedOn w:val="Normalny"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Nagwek3">
    <w:name w:val="heading 3"/>
    <w:basedOn w:val="Normalny"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Nagwek4">
    <w:name w:val="heading 4"/>
    <w:basedOn w:val="Normalny"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Nagwek5">
    <w:name w:val="heading 5"/>
    <w:basedOn w:val="Normalny"/>
    <w:qFormat/>
    <w:pPr>
      <w:keepNext/>
      <w:keepLines/>
      <w:spacing w:before="240" w:after="80"/>
      <w:outlineLvl w:val="4"/>
    </w:pPr>
    <w:rPr>
      <w:color w:val="666666"/>
    </w:rPr>
  </w:style>
  <w:style w:type="paragraph" w:styleId="Nagwek6">
    <w:name w:val="heading 6"/>
    <w:basedOn w:val="Normalny"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ListLabel1">
    <w:name w:val="ListLabel 1"/>
    <w:qFormat/>
    <w:rPr>
      <w:sz w:val="24"/>
      <w:u w:val="none"/>
    </w:rPr>
  </w:style>
  <w:style w:type="character" w:customStyle="1" w:styleId="ListLabel2">
    <w:name w:val="ListLabel 2"/>
    <w:qFormat/>
    <w:rPr>
      <w:u w:val="none"/>
    </w:rPr>
  </w:style>
  <w:style w:type="character" w:customStyle="1" w:styleId="ListLabel3">
    <w:name w:val="ListLabel 3"/>
    <w:qFormat/>
    <w:rPr>
      <w:u w:val="none"/>
    </w:rPr>
  </w:style>
  <w:style w:type="character" w:customStyle="1" w:styleId="ListLabel4">
    <w:name w:val="ListLabel 4"/>
    <w:qFormat/>
    <w:rPr>
      <w:u w:val="none"/>
    </w:rPr>
  </w:style>
  <w:style w:type="character" w:customStyle="1" w:styleId="ListLabel5">
    <w:name w:val="ListLabel 5"/>
    <w:qFormat/>
    <w:rPr>
      <w:u w:val="none"/>
    </w:rPr>
  </w:style>
  <w:style w:type="character" w:customStyle="1" w:styleId="ListLabel6">
    <w:name w:val="ListLabel 6"/>
    <w:qFormat/>
    <w:rPr>
      <w:u w:val="none"/>
    </w:rPr>
  </w:style>
  <w:style w:type="character" w:customStyle="1" w:styleId="ListLabel7">
    <w:name w:val="ListLabel 7"/>
    <w:qFormat/>
    <w:rPr>
      <w:u w:val="none"/>
    </w:rPr>
  </w:style>
  <w:style w:type="character" w:customStyle="1" w:styleId="ListLabel8">
    <w:name w:val="ListLabel 8"/>
    <w:qFormat/>
    <w:rPr>
      <w:u w:val="none"/>
    </w:rPr>
  </w:style>
  <w:style w:type="character" w:customStyle="1" w:styleId="ListLabel9">
    <w:name w:val="ListLabel 9"/>
    <w:qFormat/>
    <w:rPr>
      <w:u w:val="none"/>
    </w:rPr>
  </w:style>
  <w:style w:type="character" w:customStyle="1" w:styleId="ListLabel10">
    <w:name w:val="ListLabel 10"/>
    <w:qFormat/>
    <w:rPr>
      <w:sz w:val="24"/>
      <w:u w:val="none"/>
    </w:rPr>
  </w:style>
  <w:style w:type="character" w:customStyle="1" w:styleId="ListLabel11">
    <w:name w:val="ListLabel 11"/>
    <w:qFormat/>
    <w:rPr>
      <w:u w:val="none"/>
    </w:rPr>
  </w:style>
  <w:style w:type="character" w:customStyle="1" w:styleId="ListLabel12">
    <w:name w:val="ListLabel 12"/>
    <w:qFormat/>
    <w:rPr>
      <w:u w:val="none"/>
    </w:rPr>
  </w:style>
  <w:style w:type="character" w:customStyle="1" w:styleId="ListLabel13">
    <w:name w:val="ListLabel 13"/>
    <w:qFormat/>
    <w:rPr>
      <w:u w:val="none"/>
    </w:rPr>
  </w:style>
  <w:style w:type="character" w:customStyle="1" w:styleId="ListLabel14">
    <w:name w:val="ListLabel 14"/>
    <w:qFormat/>
    <w:rPr>
      <w:u w:val="none"/>
    </w:rPr>
  </w:style>
  <w:style w:type="character" w:customStyle="1" w:styleId="ListLabel15">
    <w:name w:val="ListLabel 15"/>
    <w:qFormat/>
    <w:rPr>
      <w:u w:val="none"/>
    </w:rPr>
  </w:style>
  <w:style w:type="character" w:customStyle="1" w:styleId="ListLabel16">
    <w:name w:val="ListLabel 16"/>
    <w:qFormat/>
    <w:rPr>
      <w:u w:val="none"/>
    </w:rPr>
  </w:style>
  <w:style w:type="character" w:customStyle="1" w:styleId="ListLabel17">
    <w:name w:val="ListLabel 17"/>
    <w:qFormat/>
    <w:rPr>
      <w:u w:val="none"/>
    </w:rPr>
  </w:style>
  <w:style w:type="character" w:customStyle="1" w:styleId="ListLabel18">
    <w:name w:val="ListLabel 18"/>
    <w:qFormat/>
    <w:rPr>
      <w:u w:val="none"/>
    </w:rPr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Tekstpodstawowy">
    <w:name w:val="Body Text"/>
    <w:basedOn w:val="Normalny"/>
    <w:pPr>
      <w:spacing w:after="140" w:line="288" w:lineRule="auto"/>
    </w:pPr>
  </w:style>
  <w:style w:type="paragraph" w:styleId="Lista">
    <w:name w:val="List"/>
    <w:basedOn w:val="Tekstpodstawowy"/>
    <w:rPr>
      <w:rFonts w:cs="Mangal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Mangal"/>
    </w:rPr>
  </w:style>
  <w:style w:type="paragraph" w:styleId="Tytu">
    <w:name w:val="Title"/>
    <w:basedOn w:val="Normalny"/>
    <w:qFormat/>
    <w:pPr>
      <w:keepNext/>
      <w:keepLines/>
      <w:spacing w:after="60"/>
    </w:pPr>
    <w:rPr>
      <w:sz w:val="52"/>
      <w:szCs w:val="52"/>
    </w:rPr>
  </w:style>
  <w:style w:type="paragraph" w:styleId="Podtytu">
    <w:name w:val="Subtitle"/>
    <w:basedOn w:val="Normalny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82584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597</Words>
  <Characters>3588</Characters>
  <Application>Microsoft Office Word</Application>
  <DocSecurity>0</DocSecurity>
  <Lines>29</Lines>
  <Paragraphs>8</Paragraphs>
  <ScaleCrop>false</ScaleCrop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Andrzej Tymoszuk</cp:lastModifiedBy>
  <cp:revision>4</cp:revision>
  <dcterms:created xsi:type="dcterms:W3CDTF">2022-08-23T13:15:00Z</dcterms:created>
  <dcterms:modified xsi:type="dcterms:W3CDTF">2022-08-30T11:52:00Z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